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DFA4F7E" w14:textId="77777777" w:rsidTr="0041512A">
        <w:tc>
          <w:tcPr>
            <w:tcW w:w="2263" w:type="dxa"/>
          </w:tcPr>
          <w:p w14:paraId="003DCBBF" w14:textId="59ADDDE5" w:rsidR="0041512A" w:rsidRDefault="00335C47" w:rsidP="0041512A">
            <w:pPr>
              <w:spacing w:before="120" w:after="120"/>
            </w:pPr>
            <w:hyperlink r:id="rId5" w:history="1">
              <w:r w:rsidR="00C37D45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DBE00ED" w14:textId="77777777" w:rsidR="0041512A" w:rsidRDefault="00F07CB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Sparo mine</w:t>
            </w:r>
          </w:p>
        </w:tc>
        <w:tc>
          <w:tcPr>
            <w:tcW w:w="1979" w:type="dxa"/>
          </w:tcPr>
          <w:p w14:paraId="5D367A2F" w14:textId="1C399C67" w:rsidR="0041512A" w:rsidRPr="0041512A" w:rsidRDefault="0006694A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275EAB0" w14:textId="77777777" w:rsidTr="0041512A">
        <w:tc>
          <w:tcPr>
            <w:tcW w:w="9629" w:type="dxa"/>
            <w:gridSpan w:val="3"/>
          </w:tcPr>
          <w:p w14:paraId="56C85642" w14:textId="31BC52BB" w:rsidR="00F33A15" w:rsidRPr="00191CC4" w:rsidRDefault="00191CC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91CC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EA218BD" w14:textId="77777777" w:rsidR="00F07CBF" w:rsidRPr="001F6270" w:rsidRDefault="00F07CBF" w:rsidP="00F07CB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operazioni di confezionamento ed innesco delle cariche, di caricamento dei fori da mina, di brillamento delle mine (sia a fuoco che elettrico) e di eliminazione delle cariche inesplose devono essere effettuate esclusivamente da personale munito della </w:t>
            </w:r>
            <w:hyperlink r:id="rId7" w:history="1">
              <w:r w:rsidRPr="001F6270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licenza di fochino</w:t>
              </w:r>
            </w:hyperlink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B9BE0AE" w14:textId="77777777" w:rsidR="00F07CBF" w:rsidRPr="001F6270" w:rsidRDefault="00F07CBF" w:rsidP="00F07CB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L'utilizzo delle mine è regolamentato dal Capitolo V dell'Allegato B del </w:t>
            </w:r>
            <w:hyperlink r:id="rId8" w:tgtFrame="_blank" w:history="1">
              <w:r w:rsidRPr="001F6270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R.D. n. 635</w:t>
              </w:r>
            </w:hyperlink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/1940 (regolamento TULPS).</w:t>
            </w:r>
          </w:p>
          <w:p w14:paraId="76073AC4" w14:textId="77777777" w:rsidR="00F07CBF" w:rsidRPr="001F6270" w:rsidRDefault="00F07CBF" w:rsidP="00F07CBF">
            <w:pPr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Inoltre, in caso di utilizzo di mine in cave e miniere, trova applicazione il </w:t>
            </w:r>
            <w:r w:rsidRPr="001F62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DPR 09/04/1959, n. 128.</w:t>
            </w:r>
          </w:p>
          <w:p w14:paraId="0E665CF4" w14:textId="77777777" w:rsidR="00F07CBF" w:rsidRPr="00191CC4" w:rsidRDefault="00F07CBF" w:rsidP="00F07CBF">
            <w:pPr>
              <w:pStyle w:val="Paragrafoelenco"/>
              <w:spacing w:line="270" w:lineRule="atLeast"/>
              <w:ind w:left="644"/>
              <w:rPr>
                <w:rFonts w:eastAsia="Times New Roman"/>
                <w:color w:val="C00000"/>
                <w:u w:val="none"/>
                <w:lang w:eastAsia="it-IT"/>
              </w:rPr>
            </w:pPr>
          </w:p>
          <w:p w14:paraId="5184331F" w14:textId="6D4557EE" w:rsidR="00F07CBF" w:rsidRPr="001F6270" w:rsidRDefault="00335C47" w:rsidP="00191CC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9" w:history="1">
              <w:r w:rsidR="00F07CBF" w:rsidRPr="00191CC4">
                <w:rPr>
                  <w:rFonts w:eastAsia="Times New Roman"/>
                  <w:b/>
                  <w:bCs/>
                  <w:color w:val="C00000"/>
                  <w:u w:val="none"/>
                  <w:lang w:eastAsia="it-IT"/>
                </w:rPr>
                <w:t>Utilizzo di mine nelle attività non minerarie</w:t>
              </w:r>
            </w:hyperlink>
            <w:r w:rsidR="00191CC4" w:rsidRPr="00191CC4">
              <w:rPr>
                <w:rFonts w:eastAsia="Times New Roman"/>
                <w:b/>
                <w:bCs/>
                <w:color w:val="C00000"/>
                <w:u w:val="none"/>
                <w:lang w:eastAsia="it-IT"/>
              </w:rPr>
              <w:t xml:space="preserve"> - </w:t>
            </w:r>
            <w:r w:rsidR="00F07CBF"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punto 3 del Capitolo V dell'Allegato B del </w:t>
            </w:r>
            <w:hyperlink r:id="rId10" w:tgtFrame="_blank" w:history="1">
              <w:r w:rsidR="00F07CBF" w:rsidRPr="001F6270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R.D. n. 635</w:t>
              </w:r>
            </w:hyperlink>
            <w:r w:rsidR="00F07CBF"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/1940 (regolamento TULPS) prevede che, per poter utilizzare mine ed esplosivi nelle attività non minerarie, occorre dare </w:t>
            </w:r>
            <w:r w:rsidR="00F07CBF" w:rsidRPr="001F62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preventivo avviso</w:t>
            </w:r>
            <w:r w:rsidR="00F07CBF" w:rsidRPr="001F6270"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="00F07CBF"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all'autorità locale di pubblica sicurezza, che rilascia una </w:t>
            </w:r>
            <w:r w:rsidR="00F07CBF" w:rsidRPr="001F62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licenza di sparo mine</w:t>
            </w:r>
            <w:r w:rsidR="00F07CBF"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nella quale vengono indicate eventuali prescrizioni per lo svolgimento dell'attività.</w:t>
            </w:r>
          </w:p>
          <w:p w14:paraId="57A9FF0E" w14:textId="22C4AD7D" w:rsidR="00F07CBF" w:rsidRPr="001F6270" w:rsidRDefault="00F07CBF" w:rsidP="00191CC4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quanto riguarda il caricamento e il brillamento delle mine, il punto 4 del Capitolo V dell'Allegato B al </w:t>
            </w:r>
            <w:hyperlink r:id="rId11" w:tgtFrame="_blank" w:history="1">
              <w:r w:rsidRPr="001F6270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R.D. n. 635</w:t>
              </w:r>
            </w:hyperlink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/1940 (regolamento TULPS), prevede che devono essere osservate, per quanto applicabili, le norme della legge e del Regolamento di polizia mineraria </w:t>
            </w:r>
            <w:hyperlink r:id="rId12" w:history="1">
              <w:r w:rsidRPr="001F6270">
                <w:rPr>
                  <w:rStyle w:val="Collegamentoipertestuale"/>
                  <w:b/>
                  <w:sz w:val="20"/>
                  <w:szCs w:val="20"/>
                  <w:u w:val="none"/>
                </w:rPr>
                <w:t>DPR 09/04/1959, n. 128</w:t>
              </w:r>
              <w:r w:rsidRPr="001F6270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.</w:t>
              </w:r>
            </w:hyperlink>
          </w:p>
          <w:p w14:paraId="2FAAB146" w14:textId="77777777" w:rsidR="00F07CBF" w:rsidRPr="00191CC4" w:rsidRDefault="00F07CBF" w:rsidP="00191CC4">
            <w:pPr>
              <w:pStyle w:val="Paragrafoelenco"/>
              <w:ind w:left="644" w:right="312"/>
              <w:jc w:val="both"/>
              <w:rPr>
                <w:rFonts w:eastAsia="Times New Roman"/>
                <w:color w:val="C00000"/>
                <w:u w:val="none"/>
                <w:lang w:eastAsia="it-IT"/>
              </w:rPr>
            </w:pPr>
          </w:p>
          <w:p w14:paraId="6AAC370C" w14:textId="15D8E3FB" w:rsidR="00F07CBF" w:rsidRPr="001F6270" w:rsidRDefault="00F07CBF" w:rsidP="00191CC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91CC4">
              <w:rPr>
                <w:rFonts w:eastAsia="Times New Roman"/>
                <w:b/>
                <w:bCs/>
                <w:color w:val="C00000"/>
                <w:u w:val="none"/>
                <w:lang w:eastAsia="it-IT"/>
              </w:rPr>
              <w:t>Utilizzo di mine nelle attività minerarie</w:t>
            </w:r>
            <w:r w:rsidR="00191CC4">
              <w:rPr>
                <w:rFonts w:eastAsia="Times New Roman"/>
                <w:b/>
                <w:bCs/>
                <w:color w:val="C00000"/>
                <w:u w:val="none"/>
                <w:lang w:eastAsia="it-IT"/>
              </w:rPr>
              <w:t xml:space="preserve"> - </w:t>
            </w:r>
            <w:r w:rsidRPr="001F62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L'uso delle mine nelle miniere e cave è regolato esclusivamente dalla normativa di settore e non prevede il rilascio della licenza di sparo mine.</w:t>
            </w:r>
          </w:p>
          <w:p w14:paraId="6BC8AB3D" w14:textId="77777777" w:rsidR="00F07CBF" w:rsidRPr="00F07CBF" w:rsidRDefault="00F07CBF" w:rsidP="00191CC4">
            <w:pPr>
              <w:ind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12463245" w14:textId="374AB31D" w:rsidR="00F07CBF" w:rsidRPr="00EB352A" w:rsidRDefault="00335C47" w:rsidP="00191CC4">
            <w:p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hyperlink r:id="rId13" w:history="1">
              <w:r w:rsidR="00F07CBF" w:rsidRPr="00191CC4">
                <w:rPr>
                  <w:rStyle w:val="Collegamentoipertestuale"/>
                  <w:b/>
                  <w:color w:val="C00000"/>
                  <w:u w:val="none"/>
                </w:rPr>
                <w:t>Requisiti soggettivi</w:t>
              </w:r>
              <w:r w:rsidR="00191CC4">
                <w:rPr>
                  <w:rStyle w:val="Collegamentoipertestuale"/>
                  <w:b/>
                  <w:color w:val="C00000"/>
                  <w:u w:val="none"/>
                </w:rPr>
                <w:t xml:space="preserve"> </w:t>
              </w:r>
              <w:r w:rsidR="00191CC4" w:rsidRPr="00191CC4">
                <w:rPr>
                  <w:rStyle w:val="Collegamentoipertestuale"/>
                  <w:color w:val="C00000"/>
                  <w:u w:val="none"/>
                </w:rPr>
                <w:t>-</w:t>
              </w:r>
              <w:r w:rsidR="00191CC4">
                <w:rPr>
                  <w:rStyle w:val="Collegamentoipertestuale"/>
                  <w:color w:val="C00000"/>
                </w:rPr>
                <w:t xml:space="preserve"> </w:t>
              </w:r>
            </w:hyperlink>
            <w:r w:rsidR="00F07CBF" w:rsidRPr="00EB352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svolgere l’attività è necessario essere in possesso della licenza per il mestiere di </w:t>
            </w:r>
            <w:r w:rsidR="00F07CBF" w:rsidRPr="00EB352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fochino</w:t>
            </w:r>
            <w:r w:rsidR="00F07CBF" w:rsidRPr="00EB352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A0334C5" w14:textId="77777777" w:rsidR="00F07CBF" w:rsidRPr="00191CC4" w:rsidRDefault="00F07CBF" w:rsidP="00191CC4">
            <w:pPr>
              <w:pStyle w:val="Paragrafoelenco"/>
              <w:ind w:left="64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580C29C7" w14:textId="77777777" w:rsidR="00F07CBF" w:rsidRPr="00191CC4" w:rsidRDefault="00335C47" w:rsidP="00F07CBF">
            <w:pPr>
              <w:spacing w:after="120"/>
              <w:ind w:left="164" w:right="312"/>
              <w:jc w:val="both"/>
              <w:rPr>
                <w:b/>
                <w:color w:val="C00000"/>
              </w:rPr>
            </w:pPr>
            <w:hyperlink r:id="rId14" w:history="1">
              <w:r w:rsidR="00F07CBF" w:rsidRPr="00191CC4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65ABAAAE" w14:textId="5100ACA1" w:rsidR="00F07CBF" w:rsidRPr="003214EE" w:rsidRDefault="00F07CBF" w:rsidP="00F07CBF">
            <w:pPr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EB352A">
              <w:rPr>
                <w:color w:val="auto"/>
                <w:sz w:val="20"/>
                <w:szCs w:val="20"/>
                <w:u w:val="none"/>
              </w:rPr>
              <w:t xml:space="preserve">Occorre presentare domanda al Sindaco </w:t>
            </w:r>
            <w:r w:rsidRPr="00EB352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il rilascio della licenza per sparo mine in attività non mineraria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fldChar w:fldCharType="begin"/>
            </w:r>
            <w:r w:rsidR="00D707BF">
              <w:rPr>
                <w:rFonts w:eastAsia="Times New Roman"/>
                <w:sz w:val="20"/>
                <w:szCs w:val="20"/>
                <w:lang w:eastAsia="it-IT"/>
              </w:rPr>
              <w:instrText>HYPERLINK "Modulistica/3PA%20-%20Accensioni%20pericolose.pdf"</w:instrText>
            </w:r>
            <w:r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F07CBF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  <w:r w:rsidRPr="003214EE"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  <w:t xml:space="preserve">     </w:t>
            </w:r>
            <w:r w:rsidRPr="003214EE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Modulo sparo mine </w:t>
            </w:r>
          </w:p>
          <w:p w14:paraId="05BFCAED" w14:textId="77777777" w:rsidR="00FC7D6D" w:rsidRDefault="00F07CBF" w:rsidP="00F07CBF">
            <w:pPr>
              <w:ind w:left="164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</w:p>
          <w:p w14:paraId="1A38D439" w14:textId="7EF46C9B" w:rsidR="00191CC4" w:rsidRPr="00A960D3" w:rsidRDefault="00191CC4" w:rsidP="00191CC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707B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11325F42" w14:textId="77777777" w:rsidR="00191CC4" w:rsidRDefault="00191CC4" w:rsidP="00191CC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CD0A044" w14:textId="77777777" w:rsidR="00F07CBF" w:rsidRPr="00191CC4" w:rsidRDefault="00F07CBF" w:rsidP="00F07CBF">
            <w:pPr>
              <w:ind w:left="164"/>
              <w:rPr>
                <w:rFonts w:eastAsia="Times New Roman"/>
                <w:lang w:eastAsia="it-IT"/>
              </w:rPr>
            </w:pPr>
          </w:p>
          <w:p w14:paraId="600D14A8" w14:textId="1B30C956" w:rsidR="00F07CBF" w:rsidRPr="00EB352A" w:rsidRDefault="00335C47" w:rsidP="00191CC4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5" w:history="1">
              <w:r w:rsidR="00F07CBF" w:rsidRPr="00191CC4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  <w:r w:rsidR="00191CC4" w:rsidRPr="00191CC4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191CC4" w:rsidRPr="00191CC4">
              <w:rPr>
                <w:rStyle w:val="Collegamentoipertestuale"/>
                <w:color w:val="C00000"/>
                <w:u w:val="none"/>
              </w:rPr>
              <w:t xml:space="preserve">- </w:t>
            </w:r>
            <w:r w:rsidR="00F07CBF" w:rsidRPr="00EB352A">
              <w:rPr>
                <w:color w:val="auto"/>
                <w:sz w:val="20"/>
                <w:szCs w:val="20"/>
                <w:u w:val="none"/>
              </w:rPr>
              <w:t xml:space="preserve">Nessun tempo preordinato poiché l’attività può essere iniziata solo dopo il rilascio della prescritta licenza che non consolida nessun silenzio assenso data la pericolosità pubblica dell’attività. </w:t>
            </w:r>
          </w:p>
          <w:p w14:paraId="70DE489F" w14:textId="77777777" w:rsidR="00F07CBF" w:rsidRPr="00191CC4" w:rsidRDefault="00F07CBF" w:rsidP="00945B26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2E7AF993" w14:textId="08A81341" w:rsidR="0078716D" w:rsidRPr="00945B26" w:rsidRDefault="00335C47" w:rsidP="0078716D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191CC4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91CC4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191CC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91CC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91CC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846108" w:rsidRPr="009D241B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846108" w:rsidRPr="00945B26">
              <w:rPr>
                <w:color w:val="0000FF"/>
                <w:sz w:val="20"/>
                <w:szCs w:val="20"/>
              </w:rPr>
              <w:t xml:space="preserve"> </w:t>
            </w:r>
            <w:r w:rsidR="0078716D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78716D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AF39BB4" w14:textId="3EC559B0" w:rsidR="00191CC4" w:rsidRPr="00945B26" w:rsidRDefault="00191CC4" w:rsidP="00191CC4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EA935EF" w14:textId="77777777" w:rsidR="00191CC4" w:rsidRPr="00B8144D" w:rsidRDefault="00191CC4" w:rsidP="00191CC4">
            <w:pPr>
              <w:pStyle w:val="Paragrafoelenco"/>
              <w:spacing w:after="120"/>
              <w:ind w:left="164" w:right="312"/>
              <w:jc w:val="both"/>
              <w:rPr>
                <w:color w:val="C00000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</w:p>
          <w:p w14:paraId="3C870118" w14:textId="77777777" w:rsidR="00191CC4" w:rsidRDefault="00335C47" w:rsidP="00191CC4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8" w:history="1">
              <w:r w:rsidR="00191CC4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2241C585" w14:textId="77777777" w:rsidR="00191CC4" w:rsidRDefault="00335C47" w:rsidP="00191CC4">
            <w:pPr>
              <w:ind w:left="164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hyperlink r:id="rId19" w:history="1">
              <w:r w:rsidR="00191CC4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7BDE83DF" w14:textId="0D4A88FF" w:rsidR="00066F15" w:rsidRPr="0041512A" w:rsidRDefault="00066F15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0B93256" w14:textId="77777777" w:rsidR="00342D58" w:rsidRDefault="00342D58">
      <w:pPr>
        <w:rPr>
          <w:b/>
        </w:rPr>
      </w:pPr>
    </w:p>
    <w:p w14:paraId="7BCCE342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5706A"/>
    <w:rsid w:val="0006694A"/>
    <w:rsid w:val="00066F15"/>
    <w:rsid w:val="000E4B7E"/>
    <w:rsid w:val="000F3ADF"/>
    <w:rsid w:val="00101976"/>
    <w:rsid w:val="00112873"/>
    <w:rsid w:val="00117F1E"/>
    <w:rsid w:val="00186205"/>
    <w:rsid w:val="00191CC4"/>
    <w:rsid w:val="002210DE"/>
    <w:rsid w:val="0023487B"/>
    <w:rsid w:val="00237016"/>
    <w:rsid w:val="00276654"/>
    <w:rsid w:val="002A5D7C"/>
    <w:rsid w:val="002A6285"/>
    <w:rsid w:val="002B375D"/>
    <w:rsid w:val="00316AA9"/>
    <w:rsid w:val="00335C47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930C1"/>
    <w:rsid w:val="005C68B2"/>
    <w:rsid w:val="005C720B"/>
    <w:rsid w:val="005E5880"/>
    <w:rsid w:val="00621A5C"/>
    <w:rsid w:val="00651378"/>
    <w:rsid w:val="00692827"/>
    <w:rsid w:val="006B29D2"/>
    <w:rsid w:val="006B3A13"/>
    <w:rsid w:val="006C7151"/>
    <w:rsid w:val="00705665"/>
    <w:rsid w:val="00737DA2"/>
    <w:rsid w:val="00746376"/>
    <w:rsid w:val="0078716D"/>
    <w:rsid w:val="0082478D"/>
    <w:rsid w:val="00846108"/>
    <w:rsid w:val="008628C4"/>
    <w:rsid w:val="00897F79"/>
    <w:rsid w:val="00945B26"/>
    <w:rsid w:val="009A4645"/>
    <w:rsid w:val="009C0F33"/>
    <w:rsid w:val="00A06B50"/>
    <w:rsid w:val="00A123BB"/>
    <w:rsid w:val="00A43B3C"/>
    <w:rsid w:val="00AE6749"/>
    <w:rsid w:val="00B0731C"/>
    <w:rsid w:val="00B66F7C"/>
    <w:rsid w:val="00BF42AE"/>
    <w:rsid w:val="00C37D45"/>
    <w:rsid w:val="00C459E8"/>
    <w:rsid w:val="00C75D34"/>
    <w:rsid w:val="00CD592E"/>
    <w:rsid w:val="00D16B5E"/>
    <w:rsid w:val="00D707BF"/>
    <w:rsid w:val="00DC5DC3"/>
    <w:rsid w:val="00DF0435"/>
    <w:rsid w:val="00E25843"/>
    <w:rsid w:val="00E660BB"/>
    <w:rsid w:val="00EB1403"/>
    <w:rsid w:val="00EE371A"/>
    <w:rsid w:val="00F07CBF"/>
    <w:rsid w:val="00F2381A"/>
    <w:rsid w:val="00F312D0"/>
    <w:rsid w:val="00F33A15"/>
    <w:rsid w:val="00FC7D6D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504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normativa.it/norma/urn%3Anir%3Astato%3Aregio.decreto%3A1940-05-06%3B635" TargetMode="External"/><Relationship Id="rId13" Type="http://schemas.openxmlformats.org/officeDocument/2006/relationships/hyperlink" Target="../Definizioni/Requisiti%20soggettivi.pdf" TargetMode="External"/><Relationship Id="rId1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06%20%20Mestiere%20di%20Fochino/MESTIERE%20DI%20FOCHINO.docx" TargetMode="External"/><Relationship Id="rId12" Type="http://schemas.openxmlformats.org/officeDocument/2006/relationships/hyperlink" Target="https://www.certifico.com/component/attachments/download/9206" TargetMode="External"/><Relationship Id="rId17" Type="http://schemas.openxmlformats.org/officeDocument/2006/relationships/hyperlink" Target="file:///C:\Walter\sportello%20unico\Progetto%20PUC\TUR\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ndicenormativa.it/norma/urn%3Anir%3Astato%3Aregio.decreto%3A1940-05-06%3B635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Definizioni/Tempistica.pdf" TargetMode="External"/><Relationship Id="rId10" Type="http://schemas.openxmlformats.org/officeDocument/2006/relationships/hyperlink" Target="http://www.indicenormativa.it/norma/urn%3Anir%3Astato%3Aregio.decreto%3A1940-05-06%3B635" TargetMode="External"/><Relationship Id="rId19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ellotelematico.comune.grumellodelmonte.bg.it/attivita-economica/sparo-mine" TargetMode="External"/><Relationship Id="rId14" Type="http://schemas.openxmlformats.org/officeDocument/2006/relationships/hyperlink" Target="SCIA%20Direttore,%20Istruttore%20di%20tir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51</cp:revision>
  <dcterms:created xsi:type="dcterms:W3CDTF">2018-04-13T14:42:00Z</dcterms:created>
  <dcterms:modified xsi:type="dcterms:W3CDTF">2021-05-11T14:16:00Z</dcterms:modified>
</cp:coreProperties>
</file>